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45075">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5AEE03C7">
      <w:pPr>
        <w:spacing w:line="540" w:lineRule="exact"/>
        <w:jc w:val="center"/>
        <w:rPr>
          <w:rFonts w:ascii="方正小标宋_GBK" w:hAnsi="华文中宋" w:eastAsia="方正小标宋_GBK" w:cs="宋体"/>
          <w:b/>
          <w:kern w:val="0"/>
          <w:sz w:val="48"/>
          <w:szCs w:val="48"/>
        </w:rPr>
      </w:pPr>
    </w:p>
    <w:p w14:paraId="49E8773A">
      <w:pPr>
        <w:spacing w:line="540" w:lineRule="exact"/>
        <w:jc w:val="center"/>
        <w:rPr>
          <w:rFonts w:ascii="方正小标宋_GBK" w:hAnsi="华文中宋" w:eastAsia="方正小标宋_GBK" w:cs="宋体"/>
          <w:b/>
          <w:kern w:val="0"/>
          <w:sz w:val="48"/>
          <w:szCs w:val="48"/>
        </w:rPr>
      </w:pPr>
    </w:p>
    <w:p w14:paraId="475A6A0C">
      <w:pPr>
        <w:spacing w:line="540" w:lineRule="exact"/>
        <w:jc w:val="center"/>
        <w:rPr>
          <w:rFonts w:ascii="方正小标宋_GBK" w:hAnsi="华文中宋" w:eastAsia="方正小标宋_GBK" w:cs="宋体"/>
          <w:b/>
          <w:kern w:val="0"/>
          <w:sz w:val="48"/>
          <w:szCs w:val="48"/>
        </w:rPr>
      </w:pPr>
    </w:p>
    <w:p w14:paraId="7A09A458">
      <w:pPr>
        <w:spacing w:line="540" w:lineRule="exact"/>
        <w:jc w:val="center"/>
        <w:rPr>
          <w:rFonts w:ascii="方正小标宋_GBK" w:hAnsi="华文中宋" w:eastAsia="方正小标宋_GBK" w:cs="宋体"/>
          <w:b/>
          <w:kern w:val="0"/>
          <w:sz w:val="48"/>
          <w:szCs w:val="48"/>
        </w:rPr>
      </w:pPr>
    </w:p>
    <w:p w14:paraId="53A227C5">
      <w:pPr>
        <w:spacing w:line="540" w:lineRule="exact"/>
        <w:jc w:val="center"/>
        <w:rPr>
          <w:rFonts w:ascii="方正小标宋_GBK" w:hAnsi="华文中宋" w:eastAsia="方正小标宋_GBK" w:cs="宋体"/>
          <w:b/>
          <w:kern w:val="0"/>
          <w:sz w:val="48"/>
          <w:szCs w:val="48"/>
        </w:rPr>
      </w:pPr>
    </w:p>
    <w:p w14:paraId="6E77563B">
      <w:pPr>
        <w:spacing w:line="540" w:lineRule="exact"/>
        <w:jc w:val="center"/>
        <w:rPr>
          <w:rFonts w:ascii="方正小标宋_GBK" w:hAnsi="华文中宋" w:eastAsia="方正小标宋_GBK" w:cs="宋体"/>
          <w:b/>
          <w:kern w:val="0"/>
          <w:sz w:val="48"/>
          <w:szCs w:val="48"/>
        </w:rPr>
      </w:pPr>
    </w:p>
    <w:p w14:paraId="3538F06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00256F5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6855EE4E">
      <w:pPr>
        <w:spacing w:line="540" w:lineRule="exact"/>
        <w:jc w:val="center"/>
        <w:rPr>
          <w:rFonts w:ascii="华文中宋" w:hAnsi="华文中宋" w:eastAsia="华文中宋" w:cs="宋体"/>
          <w:b/>
          <w:kern w:val="0"/>
          <w:sz w:val="52"/>
          <w:szCs w:val="52"/>
        </w:rPr>
      </w:pPr>
    </w:p>
    <w:p w14:paraId="7BB11BE0">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1FDB4AB">
      <w:pPr>
        <w:spacing w:line="700" w:lineRule="exact"/>
        <w:jc w:val="left"/>
        <w:rPr>
          <w:rFonts w:hint="eastAsia" w:hAnsi="宋体" w:eastAsia="仿宋_GB2312" w:cs="宋体"/>
          <w:kern w:val="0"/>
          <w:sz w:val="36"/>
          <w:szCs w:val="36"/>
        </w:rPr>
      </w:pPr>
    </w:p>
    <w:p w14:paraId="5CB83B7D">
      <w:pPr>
        <w:spacing w:line="700" w:lineRule="exact"/>
        <w:jc w:val="left"/>
        <w:rPr>
          <w:rFonts w:hint="eastAsia" w:hAnsi="宋体" w:eastAsia="仿宋_GB2312" w:cs="宋体"/>
          <w:kern w:val="0"/>
          <w:sz w:val="36"/>
          <w:szCs w:val="36"/>
        </w:rPr>
      </w:pPr>
    </w:p>
    <w:p w14:paraId="7AF4FCB5">
      <w:pPr>
        <w:spacing w:line="700" w:lineRule="exact"/>
        <w:jc w:val="left"/>
        <w:rPr>
          <w:rFonts w:hint="eastAsia" w:hAnsi="宋体" w:eastAsia="仿宋_GB2312" w:cs="宋体"/>
          <w:kern w:val="0"/>
          <w:sz w:val="36"/>
          <w:szCs w:val="36"/>
          <w:lang w:eastAsia="zh-CN"/>
        </w:rPr>
      </w:pPr>
    </w:p>
    <w:p w14:paraId="43F1AD9D">
      <w:pPr>
        <w:spacing w:line="700" w:lineRule="exact"/>
        <w:jc w:val="left"/>
        <w:rPr>
          <w:rFonts w:hint="eastAsia" w:hAnsi="宋体" w:eastAsia="仿宋_GB2312" w:cs="宋体"/>
          <w:kern w:val="0"/>
          <w:sz w:val="36"/>
          <w:szCs w:val="36"/>
          <w:lang w:eastAsia="zh-CN"/>
        </w:rPr>
      </w:pPr>
    </w:p>
    <w:p w14:paraId="1B10E2BC">
      <w:pPr>
        <w:spacing w:line="700" w:lineRule="exact"/>
        <w:jc w:val="left"/>
        <w:rPr>
          <w:rFonts w:hint="eastAsia" w:hAnsi="宋体" w:eastAsia="仿宋_GB2312" w:cs="宋体"/>
          <w:kern w:val="0"/>
          <w:sz w:val="36"/>
          <w:szCs w:val="36"/>
          <w:lang w:eastAsia="zh-CN"/>
        </w:rPr>
      </w:pPr>
    </w:p>
    <w:p w14:paraId="16EA6DB7">
      <w:pPr>
        <w:spacing w:line="700" w:lineRule="exact"/>
        <w:jc w:val="left"/>
        <w:rPr>
          <w:rFonts w:hint="eastAsia" w:hAnsi="宋体" w:eastAsia="仿宋_GB2312" w:cs="宋体"/>
          <w:kern w:val="0"/>
          <w:sz w:val="36"/>
          <w:szCs w:val="36"/>
          <w:lang w:eastAsia="zh-CN"/>
        </w:rPr>
      </w:pPr>
    </w:p>
    <w:p w14:paraId="0808D39E">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克州农牧机械化技术推广站</w:t>
      </w:r>
    </w:p>
    <w:p w14:paraId="2ACF742A">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530A02C1">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6EDCE25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77C25B2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该项目由克州农牧业机械技术推广站实施，无内设科室。主要职能是制定年度推广计划并组织实施；负责新型农机具的选型、引进、开发、试验、示范推广工作；组织对农机具的研制开发、改制、改进和专利申报工作；负责农机新成果、新技术、新机具的技术咨询、培训、指导、宣传普及和信息服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克州农牧业机械技术推广站无内设科室。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克州农牧业机械技术推广站编制26名，其中：事业编制26名。实有人员59人，其中：在职40人，退休17人，遗属2人。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克州农牧业机械技术推广在州党委、人民政府的正确领导和自治区农业农村机械化发展中心及农业农村局党组的指导、支持下，紧紧围绕自治州党委“3+1”重点工作，按照发展现代农业的战略目标来开展工作，建立健全强农惠农财政补贴政策和管理机制，大力推广和引进农机新机具、新技术，使我州农业生产机械化水平有了较大提高。主要工作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始终坚持新时代党的治疆方略，牢固树立社会稳定和长治久安总目标的思想基础。</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学习，进一步提高政治站位。深入开展民族团结一家亲活动，营造团结稳定氛围。依法加强宗教事务的管理。常态化抓好新冠肺炎疫情防控工作，一是加强宣传教育和疫情工作提醒。及时传达上级党委、政府工作部署和最新疫情信息，普及疫情防控知识和防控要求，强化舆情监测与引导，做到干部职工不信谣、不传谣、不恐慌。二是落实物资保障。督促办公室采购、储备、调配疫情防控应急物资，确保随时处于备用状态，做好常态化疫情物资准备，做到随时应急，随时使用。三是建立人员流动报告制度。单位干部职工每天按照要求进行体温测量并登记，对来访人员严格做好登记及体温测量，单位人员以及来访人员一旦发现发热、乏力、干咳、呼吸困难等现象及时向有关部门上报，并到指定医疗机构进行排查、诊治。四是落实好消杀工作和核酸检测工作。安排专人负责对办公区域和卫生间做好消杀、环境卫生清洁、体温测量、接种疫苗等工作，密切关注疫情上报信息，做到早发现、早报告、早处置。全力抓好“访惠聚”驻村工作，助推巩固拓展脱贫攻坚与乡村振兴战略。</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组织领导，落实后盾责任。成立以党支部书记为组长，主任及分管领导为副组长，各科室（站）负责人为成员的领导小组，形成了主要领导亲自抓，分管领导具体抓，“访惠聚”驻村工作第一书记全面抓的工作格局，明确了工作职责和任务分工，落实专项工作经费，做到了机构、人员、经费、责任“四个到位”，为顺利开展“访惠聚”驻村点工作提供了坚强的组织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严明驻村纪律，压实助推责任。按照“访惠聚”驻村工作要求，选优配强派驻工作队队长和驻村工作队队员，组建工作责任心强、基层工作经验丰富、政治素质高、能力强的17名干部到2个村开展驻村工作。其中阿图什市松他克乡松他克村7名，帕提阡村6名，同时配备年轻干部担任乡村振兴专职干部，不断增强“访惠聚”驻村工作定点帮扶主体责任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全力解决好老百姓的急事难事。一是开展走访慰问活动。在元旦、春节期间组织村民开展文化活动和走访慰问。对生活比较困难的家庭送去了面粉和清油，向他们送上新春的祝福。在建党100周年之际购买价值11765元的物品慰问老党员。二是加大基础设施建设和开展环境整治。为了改善村容村貌和乡村环境卫生整治，为墩巴格村、松他克村共投入10万余元，重点对5+2办公楼内墙进行重新粉刷和村级道路两旁进行环境整治，安装监控，水渠加固，购买4台电视机和网红直播设备、党群会议电视1台以及移动广播音响1套等。三是开展助学活动。为解决家庭困难大学生上学难的问题，对77名贫困学生发放助学金7.9万元。在“六一”儿童节为三个驻村工作点的学校和幼儿园送上价值7947元的学习用品，为松他克乡中心幼儿园采购价值1.4万元广播音响一套。四是深入推进产业扶贫。为了防止已脱贫户返贫，为墩巴格村已脱贫户发放木纳格葡萄苗1000棵，价值8000元，并组织技术人员进行栽种和技术讲解，送上致富的“金钥匙”。</w:t>
      </w:r>
      <w:r>
        <w:rPr>
          <w:rFonts w:hint="eastAsia" w:ascii="仿宋_GB2312" w:hAnsi="宋体" w:eastAsia="仿宋_GB2312"/>
          <w:b w:val="0"/>
          <w:bCs/>
          <w:sz w:val="32"/>
          <w:szCs w:val="32"/>
        </w:rPr>
        <w:cr/>
      </w:r>
      <w:r>
        <w:rPr>
          <w:rFonts w:hint="eastAsia" w:ascii="仿宋_GB2312" w:hAnsi="宋体" w:eastAsia="仿宋_GB2312"/>
          <w:b w:val="0"/>
          <w:bCs/>
          <w:sz w:val="32"/>
          <w:szCs w:val="32"/>
        </w:rPr>
        <w:t>　　创新思路、突出重点，农机化业绩突出。农业机械化服务程度明显提高。2021年全州农机装备总量和生产质量进一步提高，农业机械总动力预计达51.3万千瓦、拖拉机和配套农具数达54224台（架）其中：拖拉机18032台，配套农具36192台（架）。主要农作物机耕和机播作业机械化程度分别达99.98%，98.8%，机收作业机械化程度达82.9%，管理作业（打农药，除草作业为主）机械化程度达93%，综合机械化程度达89.91%、同比增长2.11%。全年投入生产的农机具43120台架（其中拖拉机17248台，配套农具25872台/架），农机经营总收入和效益稳步提高，农机经营总收入达4.55亿元。</w:t>
      </w:r>
      <w:r>
        <w:rPr>
          <w:rFonts w:hint="eastAsia" w:ascii="仿宋_GB2312" w:hAnsi="宋体" w:eastAsia="仿宋_GB2312"/>
          <w:b w:val="0"/>
          <w:bCs/>
          <w:sz w:val="32"/>
          <w:szCs w:val="32"/>
        </w:rPr>
        <w:cr/>
      </w:r>
      <w:r>
        <w:rPr>
          <w:rFonts w:hint="eastAsia" w:ascii="仿宋_GB2312" w:hAnsi="宋体" w:eastAsia="仿宋_GB2312"/>
          <w:b w:val="0"/>
          <w:bCs/>
          <w:sz w:val="32"/>
          <w:szCs w:val="32"/>
        </w:rPr>
        <w:t>　　创建农机化示范工作。一是结合春耕、“三夏”、“三秋”农机化生产，重点推广深松作业、精量播种、秸秆综合利用等机械化新技术、新机具，切实提高机械化作业质量。在三县一市共举办小麦机收、玉米秸秆柔丝打包、葡萄枝干粉粹打包、机采棉、残膜回收等示范推广现场会12场，推动新技术、新机具广泛使用；二是示范推广棉花种植机械化技术。完成推广机采棉模式种植6.4万亩棉花。三是创建示范区建设，推动农机化在农业生产的主力军作用。今年创建全国主要农作物全程机械化县1个，创建自治区级农机专业合作社2个。四是农作物秸秆综合利用规模逐步扩大，今年小麦、玉米、草料机械加工量达到了181万吨（其中：小麦麦草22万吨，玉米秸秆青贮饲料110万吨，苜蓿、草料49万吨）。五是农作物精量播种技术推广规模稳步提高。农作物精量播种规模达97.6万亩（其中：棉花12万亩，玉米43.6万亩，小麦42万亩）。六是农业机械智能化进一步提高，无人机打药、激光平地、深松等智能化作业面积达25.3万亩。七是组织农机、畜牧、林业等40名专业技术人员参加了自治区农机博览会。</w:t>
      </w:r>
      <w:r>
        <w:rPr>
          <w:rFonts w:hint="eastAsia" w:ascii="仿宋_GB2312" w:hAnsi="宋体" w:eastAsia="仿宋_GB2312"/>
          <w:b w:val="0"/>
          <w:bCs/>
          <w:sz w:val="32"/>
          <w:szCs w:val="32"/>
        </w:rPr>
        <w:cr/>
      </w:r>
      <w:r>
        <w:rPr>
          <w:rFonts w:hint="eastAsia" w:ascii="仿宋_GB2312" w:hAnsi="宋体" w:eastAsia="仿宋_GB2312"/>
          <w:b w:val="0"/>
          <w:bCs/>
          <w:sz w:val="32"/>
          <w:szCs w:val="32"/>
        </w:rPr>
        <w:t>　　落实惠民惠农政策、提升农机装备水平。一是严格落实农机购置补贴政策。2021年我州农机购置补贴资金960万元，全部已补发到2020年农机购置补贴缺口，目前为止发放农机购置补贴资金955.4275万元，完成率达99.5%，农机购置补贴受益户267户，购买农机具389台，带动农民和社会总投入超过6687.992万元。二是大力推动深松整地作业补助落实。截止10月底全州已完成农机深松整地作业面积4.31万亩，发放农机深松整地作业补助资金129.22万元，受益户2884户。三是农机报废更新补贴政策落实情况。各县（市）与回收部门协同办理报废更新补贴拖拉机298台，受益户292户，报废补贴资金80万元。四是项目执行情况。2021年自治区扶持农机化专项资金30万元，主要扶持农机新技术使用、推广、创建全国主要农作物全程机械化及创建自治区级农机专业合作社等方面，项目进入验收阶段。</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技术培训、促进培训学校的规范化建设、提高农机手综合素质。2021年通过“冬季攻势”、进乡入村开展宣讲、现场观摩会等方式对农机管理人员、专业技术人员、农机合作社相关人员、拖拉机驾驶操作人员及大型工程机械设备操作人员进行培训。截至目前，教育培训各类人员3.2万人次，其中：农机管理人员144名，专业技术人员44人次，农机手2.01万人次，农机合作社人员632名；举办拖拉机驾驶操作人员培训班28期，培训人员1347名，其中：拖拉机及联合收割机驾驶人18期，培训人员779人，大型工程机械操作人员10期，培训人员384人。</w:t>
      </w:r>
      <w:r>
        <w:rPr>
          <w:rFonts w:hint="eastAsia" w:ascii="仿宋_GB2312" w:hAnsi="宋体" w:eastAsia="仿宋_GB2312"/>
          <w:b w:val="0"/>
          <w:bCs/>
          <w:sz w:val="32"/>
          <w:szCs w:val="32"/>
        </w:rPr>
        <w:cr/>
      </w:r>
      <w:r>
        <w:rPr>
          <w:rFonts w:hint="eastAsia" w:ascii="仿宋_GB2312" w:hAnsi="宋体" w:eastAsia="仿宋_GB2312"/>
          <w:b w:val="0"/>
          <w:bCs/>
          <w:sz w:val="32"/>
          <w:szCs w:val="32"/>
        </w:rPr>
        <w:t>　　农机社会化服务水平快速提高。以农机合作社为主的新型农机合作组织加快发展，服务领域和服务规模不断拓宽。今年创建自治区级农机专业合作社2个。全州工商系统注册登记的农机专业合作社38个，农机合作社入社成员780人，机具总数1270台，作业面积累计11.4万亩，服务农户2.28万户，服务性收入超过500万元。全州参加跨区作业机具527台，完成作业任务15.9万亩，创收1113.152万元，充分发挥了农机合作社和农机大户的作用。</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对农机及大型工程机械安全监管工作。一是认真做好农机管理工作。2021年全州在册拖拉机18032台，驾驶员17247人。应检拖拉机15179台，已检拖拉机13054台，检验率86%，待报废清除拖拉机2759台。深入开展农机安全生产监管。大力开展“大排查、大整治，无牌行驶、无证驾驶”、“隐患排查”等安全整治活动，开展农机安全生产检查201次，检查拖拉机825台，注册登记拖拉机联合收割机837台，注销报废499台，通过大排查对2521台僵尸拖拉机进行清理；</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全州共组织拖拉机、联合收割机驾驶证考试14场，参加考试驾驶员合格607人。同时为提高安全意识，强化宣传教育，发放各类宣传材料2万余份；制作宣传板报2块、悬挂横幅8条，受教育人员3.6万人次。二是全力做好大型工程机械管理工作。截至目前，全州已注册登记大型工程机械3362台，操作员3827名，2021年新注册大型工程机械设备331台，组织大型工程机械设备操作人员考试10场，已核发大型工程机械设备操作证377人。</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生态环境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（2）收支管理：领导层是本单位收支业务管理的决策部门，负责审批单位收支业务等事项。涉及“三重一大”事项，根据《克州生态环境局集体决策制度》和《克州生态环境局项目管理办法》办理。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生态环境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农牧业机械技术推广站合同管理办法》相关规定，克州农牧业机械技术推广站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719.96万元，项目支出安排资金48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本单位2021年度项目支出48万元，涉及项目数量1个，其中：重点项目支出34万元，涉及重点项目数量1个，重点项目支出与部门项目总支出的比率为70.83%。</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2021年度本单位年初批复部门预算资金总额为663.03万元，年中调增预算总额为104.93万元，调整后全年预算资金总额为767.96万元。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2021年度本单位部门整体支出资金总额为767.96万元，预算执行率为100%，预算调整率为</w:t>
      </w:r>
      <w:r>
        <w:rPr>
          <w:rFonts w:hint="eastAsia" w:ascii="仿宋_GB2312" w:hAnsi="宋体" w:eastAsia="仿宋_GB2312"/>
          <w:b w:val="0"/>
          <w:bCs/>
          <w:sz w:val="32"/>
          <w:szCs w:val="32"/>
          <w:lang w:val="en-US" w:eastAsia="zh-CN"/>
        </w:rPr>
        <w:t>15.81</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年初政府采购预算数为63.95万元，实际政府采购数为59.54万元，政府采购执行率为93.10%。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2892868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1F6575F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为加强我单位预算管理、规范财务行为我单位制定了《克州生态环境局内部控制规范》《克州生态环境局项目管理规范》等资金管理制度，已建立制度均健全且有效运行。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2021年度我单位基本支出预算总额为719.96万元，其中人员经费694.67万元，公用经费25.29万元。实际执行总额为719.96万元，预算执行率100%。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2.02万元，比上年增加0.91万元，增加82.64%，主要原因是：因开展农机安全检查，及机械项目推广工作，同时车辆老化相对的一些费用也增加了。其中，因公出国（境）费支出0万元；公务用车购置及运行维护费支出2.02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与年初预算数相比情况：一般公共预算“三公”经费支出年初预算数3.30万元，预算执行数为2.02万元，执行率为38.72%，主要原因是：按照厉行节约的要求，2021年缩减公务车运行维护费，因此支出随之减少。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2021年度本单位项目支出预算总额为48万元，实际执行资金总额为48万元，预算执行率为96.08%。</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2021年度预算安排专项资金34万元，实际支出资金34万元，预算执行率为100%，涉及项目个数1个。专项经费按照政策要求实行专款专用，不存在截留、挤占、挪用、虚列支出。各项目详细执行情况如下：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第一书记办和为民办实事经费项目:全年预算数为34万元，预算执行数34万元，预算执行率为100%；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2021年度预算安排本级财力资金14万元，实际支出资金14万元，预算执行率为100%，涉及项目个数1个，各项目详细执行情况如下：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群众工作经费：全年预算数14万元，预算执行数14万元，预算执行率为100%；</w:t>
      </w:r>
    </w:p>
    <w:p w14:paraId="09807FC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5DFE762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经费项目的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48万元，资金全部到位，实际使用资金48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①制订《克州生态环境局经费使用规范》,为合理合规使用经费提供了有力的制度保障。同时,建立区委组织部项目经费内部管控制度，并严格按要求落实。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和为民办实事经费项目：主要用于阿图什市松他克镇松他克村、帕提阡村工作队和第一书记开展群众工作经费保障，有利于深入基层，积极为民办实事好事，顺利开展阿图什市肖鲁克村基层组织工作，帮助解决农牧民生产生活等困难问题，宣传党的各项惠民政策，维护社会稳定和长治久安，进一步增强农牧民的幸福感和获得感。</w:t>
      </w:r>
    </w:p>
    <w:p w14:paraId="3483B16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08595E3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本单位2021年初资产合计数为120.67万元，年末资产合计数为128.02万元。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截止本年度固定资产账面净值34.63万元，年末实际在用固定资产34.63万元，固定资产利用率为100%。</w:t>
      </w:r>
    </w:p>
    <w:p w14:paraId="637ACC5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1380E07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部门单位整体支出共设置一级指标3个，二级指标7个，三级指标14个，其中已完成三级指标12个，指标完成率为85.71%。</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“保障人员人数”指标：预期指标值&gt;=59人，实际完成指标值为59人，指标完成率为100%。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“保障车辆数”指标：预期指标值为&gt;=2辆，实际完成指标值为2辆，指标完成率为100%。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“开展群众活动”指标：预期指标值为&gt;=12次，实际完成指标值为12次，指标完成率为100%。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“人员经费”指标：预期指标值为&lt;=586.30万元，实际完成指标值为586.30万元，指标完成率为100%。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“公用经费”指标：预期指标值为=25.73万元，实际完成指标值为25.29万元，指标完成率为98.29%。偏差原因：2021年福利费未形成支出。改进措施：积极与办公室协调，加强福利费的使用效力。</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51万元，实际完成指标值为49万元，指标完成率为96.08%。偏差原因：2021年科技专项拨款减少，造成执行小于预算。改进措施：积极同业务科室联系，提高预算编制水平，加强资金使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“加强基层组织建设”指标：预期指标值为有效加强，实际完成指标值为有效加强，指标完成率为100%。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“提高农牧民生产生活质量”指标：预期指标值为有效提高，实际完成指标值为有效提高，指标完成率为100%。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“有效改善标准化改造和机械化作业”指标：预期指标值为有效改善，实际完成指标值为有效改善，指标完成率为100%。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“受益农牧民的满意度”指标：预期指标值为&gt;=95%，实际完成指标值为95%，指标完成率为100%。</w:t>
      </w:r>
    </w:p>
    <w:p w14:paraId="5F4A41C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3B2A752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740C573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639A994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ascii="黑体" w:hAnsi="黑体" w:eastAsia="黑体" w:cs="宋体"/>
          <w:b/>
          <w:bCs w:val="0"/>
          <w:color w:val="000000" w:themeColor="text1"/>
          <w:sz w:val="32"/>
          <w:szCs w:val="32"/>
          <w:lang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18B285CC"/>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95A6DBB"/>
    <w:rsid w:val="0D1922F1"/>
    <w:rsid w:val="0E4B1141"/>
    <w:rsid w:val="108622B3"/>
    <w:rsid w:val="1438599A"/>
    <w:rsid w:val="200F4073"/>
    <w:rsid w:val="24B86128"/>
    <w:rsid w:val="38815A21"/>
    <w:rsid w:val="3DB913B9"/>
    <w:rsid w:val="43227A98"/>
    <w:rsid w:val="47AB0851"/>
    <w:rsid w:val="51C70EA9"/>
    <w:rsid w:val="54F842B6"/>
    <w:rsid w:val="57A572D1"/>
    <w:rsid w:val="591770AF"/>
    <w:rsid w:val="656071F2"/>
    <w:rsid w:val="6596129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11953</Words>
  <Characters>12621</Characters>
  <Lines>2</Lines>
  <Paragraphs>1</Paragraphs>
  <TotalTime>28</TotalTime>
  <ScaleCrop>false</ScaleCrop>
  <LinksUpToDate>false</LinksUpToDate>
  <CharactersWithSpaces>12923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2025-07-31T03:28:16Z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